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3A340" w14:textId="77777777" w:rsidR="00CB1F10" w:rsidRDefault="001F63C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580A9176" w14:textId="77777777" w:rsidR="00CB1F10" w:rsidRDefault="00CB1F10">
      <w:pPr>
        <w:keepNext/>
        <w:pBdr>
          <w:top w:val="nil"/>
          <w:left w:val="nil"/>
          <w:bottom w:val="nil"/>
          <w:right w:val="nil"/>
          <w:between w:val="nil"/>
        </w:pBdr>
        <w:jc w:val="left"/>
        <w:rPr>
          <w:rFonts w:ascii="Arial" w:eastAsia="Arial" w:hAnsi="Arial"/>
          <w:b/>
          <w:smallCaps/>
          <w:color w:val="000000"/>
          <w:sz w:val="36"/>
          <w:szCs w:val="36"/>
        </w:rPr>
      </w:pPr>
    </w:p>
    <w:p w14:paraId="287B3316" w14:textId="77777777" w:rsidR="00CB1F10" w:rsidRDefault="001F63C4" w:rsidP="00445379">
      <w:pPr>
        <w:pBdr>
          <w:top w:val="nil"/>
          <w:left w:val="nil"/>
          <w:bottom w:val="nil"/>
          <w:right w:val="nil"/>
          <w:between w:val="nil"/>
        </w:pBdr>
        <w:tabs>
          <w:tab w:val="left" w:pos="1985"/>
        </w:tabs>
        <w:spacing w:before="120" w:after="120"/>
        <w:ind w:left="-142"/>
        <w:jc w:val="left"/>
        <w:rPr>
          <w:rFonts w:ascii="Arial" w:eastAsia="Arial" w:hAnsi="Arial"/>
          <w:color w:val="000000"/>
          <w:sz w:val="36"/>
          <w:szCs w:val="36"/>
        </w:rPr>
      </w:pPr>
      <w:bookmarkStart w:id="0" w:name="_heading=h.3dy6vkm" w:colFirst="0" w:colLast="0"/>
      <w:bookmarkEnd w:id="0"/>
      <w:r>
        <w:rPr>
          <w:rFonts w:ascii="Arial" w:eastAsia="Arial" w:hAnsi="Arial"/>
          <w:color w:val="000000"/>
          <w:sz w:val="24"/>
          <w:szCs w:val="24"/>
        </w:rPr>
        <w:t>[Guidance: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14:paraId="1963A557" w14:textId="77777777" w:rsidR="00CB1F10" w:rsidRDefault="00CB1F10">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1ECAC5FC"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Definitions</w:t>
      </w:r>
    </w:p>
    <w:p w14:paraId="641A240B" w14:textId="77777777" w:rsidR="00CB1F10" w:rsidRDefault="001F63C4">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59E5AF7B" w14:textId="77777777" w:rsidR="00CB1F10" w:rsidRDefault="00CB1F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04"/>
        <w:gridCol w:w="5952"/>
      </w:tblGrid>
      <w:tr w:rsidR="00CB1F10" w14:paraId="1589E99B" w14:textId="77777777" w:rsidTr="00445379">
        <w:tc>
          <w:tcPr>
            <w:tcW w:w="2704" w:type="dxa"/>
          </w:tcPr>
          <w:p w14:paraId="5B89FAB1" w14:textId="77777777" w:rsidR="00CB1F10" w:rsidRDefault="00445379" w:rsidP="00445379">
            <w:pPr>
              <w:pBdr>
                <w:top w:val="nil"/>
                <w:left w:val="nil"/>
                <w:bottom w:val="nil"/>
                <w:right w:val="nil"/>
                <w:between w:val="nil"/>
              </w:pBdr>
              <w:spacing w:before="120" w:after="120"/>
              <w:ind w:hanging="54"/>
              <w:jc w:val="left"/>
              <w:rPr>
                <w:rFonts w:ascii="Arial" w:eastAsia="Arial" w:hAnsi="Arial"/>
                <w:b/>
                <w:color w:val="000000"/>
                <w:sz w:val="24"/>
                <w:szCs w:val="24"/>
              </w:rPr>
            </w:pPr>
            <w:r>
              <w:rPr>
                <w:rFonts w:ascii="Arial" w:eastAsia="Arial" w:hAnsi="Arial"/>
                <w:b/>
                <w:color w:val="000000"/>
                <w:sz w:val="24"/>
                <w:szCs w:val="24"/>
              </w:rPr>
              <w:t xml:space="preserve">“Applicable Financial </w:t>
            </w:r>
            <w:r w:rsidR="001F63C4">
              <w:rPr>
                <w:rFonts w:ascii="Arial" w:eastAsia="Arial" w:hAnsi="Arial"/>
                <w:b/>
                <w:color w:val="000000"/>
                <w:sz w:val="24"/>
                <w:szCs w:val="24"/>
              </w:rPr>
              <w:t>Indicators”</w:t>
            </w:r>
          </w:p>
        </w:tc>
        <w:tc>
          <w:tcPr>
            <w:tcW w:w="5952" w:type="dxa"/>
          </w:tcPr>
          <w:p w14:paraId="57633F8D" w14:textId="77777777" w:rsidR="00CB1F10" w:rsidRDefault="001F63C4" w:rsidP="00445379">
            <w:pPr>
              <w:keepNext/>
              <w:pBdr>
                <w:top w:val="nil"/>
                <w:left w:val="nil"/>
                <w:bottom w:val="nil"/>
                <w:right w:val="nil"/>
                <w:between w:val="nil"/>
              </w:pBdr>
              <w:ind w:left="81"/>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CB1F10" w14:paraId="3A735124" w14:textId="77777777" w:rsidTr="00445379">
        <w:tc>
          <w:tcPr>
            <w:tcW w:w="2704" w:type="dxa"/>
          </w:tcPr>
          <w:p w14:paraId="66D38991"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14:paraId="5C516A99"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CB1F10" w14:paraId="73824F97" w14:textId="77777777" w:rsidTr="00445379">
        <w:tc>
          <w:tcPr>
            <w:tcW w:w="2704" w:type="dxa"/>
          </w:tcPr>
          <w:p w14:paraId="74FC9895"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14:paraId="19768969"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CB1F10" w14:paraId="47380371" w14:textId="77777777" w:rsidTr="00445379">
        <w:tc>
          <w:tcPr>
            <w:tcW w:w="2704" w:type="dxa"/>
          </w:tcPr>
          <w:p w14:paraId="69345AE0"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14:paraId="188F2981"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CB1F10" w14:paraId="6B56421D" w14:textId="77777777" w:rsidTr="00445379">
        <w:tc>
          <w:tcPr>
            <w:tcW w:w="2704" w:type="dxa"/>
          </w:tcPr>
          <w:p w14:paraId="4AE8EE20"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14:paraId="650426ED"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CB1F10" w14:paraId="0842130D" w14:textId="77777777" w:rsidTr="00445379">
        <w:tc>
          <w:tcPr>
            <w:tcW w:w="2704" w:type="dxa"/>
          </w:tcPr>
          <w:p w14:paraId="67334194"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14:paraId="3467AC19"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CB1F10" w14:paraId="1BE02F25" w14:textId="77777777" w:rsidTr="00445379">
        <w:tc>
          <w:tcPr>
            <w:tcW w:w="2704" w:type="dxa"/>
          </w:tcPr>
          <w:p w14:paraId="69E196A3"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14:paraId="0E5CDEE8" w14:textId="77777777" w:rsidR="00CB1F10" w:rsidRDefault="001F63C4" w:rsidP="002A1828">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the </w:t>
            </w:r>
            <w:r w:rsidR="002A1828" w:rsidRPr="002A1828">
              <w:rPr>
                <w:rFonts w:ascii="Arial" w:eastAsia="Arial" w:hAnsi="Arial"/>
                <w:color w:val="000000"/>
                <w:sz w:val="24"/>
                <w:szCs w:val="24"/>
              </w:rPr>
              <w:t>Supplier</w:t>
            </w:r>
          </w:p>
        </w:tc>
      </w:tr>
      <w:tr w:rsidR="00CB1F10" w14:paraId="14DC0F70" w14:textId="77777777" w:rsidTr="00445379">
        <w:tc>
          <w:tcPr>
            <w:tcW w:w="2704" w:type="dxa"/>
          </w:tcPr>
          <w:p w14:paraId="027D4F26"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14:paraId="1C521AD5"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CB1F10" w14:paraId="53ECB075" w14:textId="77777777" w:rsidTr="00445379">
        <w:tc>
          <w:tcPr>
            <w:tcW w:w="2704" w:type="dxa"/>
          </w:tcPr>
          <w:p w14:paraId="5948ECB0"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14:paraId="5DAD1432"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CB1F10" w14:paraId="78E196F9" w14:textId="77777777" w:rsidTr="00445379">
        <w:tc>
          <w:tcPr>
            <w:tcW w:w="2704" w:type="dxa"/>
          </w:tcPr>
          <w:p w14:paraId="3A3A60BB"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14:paraId="6C9DB2CF"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in respect of the Supplier, Key Sub-contractors and the Guarantor, means each of the financial indicators set out at paragraph 5.1 of this Schedule and in </w:t>
            </w:r>
            <w:r>
              <w:rPr>
                <w:rFonts w:ascii="Arial" w:eastAsia="Arial" w:hAnsi="Arial"/>
                <w:color w:val="000000"/>
                <w:sz w:val="24"/>
                <w:szCs w:val="24"/>
              </w:rPr>
              <w:lastRenderedPageBreak/>
              <w:t>respect of each Monitored Supplier, means those Applicable Financial Indicators;</w:t>
            </w:r>
          </w:p>
        </w:tc>
      </w:tr>
      <w:tr w:rsidR="00CB1F10" w14:paraId="249E4846" w14:textId="77777777" w:rsidTr="00445379">
        <w:tc>
          <w:tcPr>
            <w:tcW w:w="2704" w:type="dxa"/>
          </w:tcPr>
          <w:p w14:paraId="0169BE54"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14:paraId="50B75755"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CB1F10" w14:paraId="07938A80" w14:textId="77777777" w:rsidTr="00445379">
        <w:tc>
          <w:tcPr>
            <w:tcW w:w="2704" w:type="dxa"/>
          </w:tcPr>
          <w:p w14:paraId="6747760D"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14:paraId="3B88BBA5"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CB1F10" w14:paraId="38C74E64" w14:textId="77777777" w:rsidTr="00445379">
        <w:tc>
          <w:tcPr>
            <w:tcW w:w="2704" w:type="dxa"/>
          </w:tcPr>
          <w:p w14:paraId="42351702"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14:paraId="09C07EA6"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CB1F10" w14:paraId="1ABE9DB0" w14:textId="77777777" w:rsidTr="00445379">
        <w:tc>
          <w:tcPr>
            <w:tcW w:w="2704" w:type="dxa"/>
          </w:tcPr>
          <w:p w14:paraId="511732FC" w14:textId="77777777"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14:paraId="020BD387" w14:textId="77777777"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1DB432E6"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25115063" w14:textId="77777777"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2445AD99"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202192F0"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430EB82F"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26BCC95A"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33855936"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1DBC4C74"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5BCDBDD4"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EF856FD"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82E141C"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3AC634BD"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14:paraId="60E203D6"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14:paraId="59BA0607"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14:paraId="508619DA"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439A9BD5"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1D5919D7"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7E411050"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211BCAA5"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4239DFE7"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414F7117"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14:paraId="1FB266D5"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14:paraId="1A1FCD4D"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14:paraId="5113C73B"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7ECF0E7A" w14:textId="77777777"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w:t>
      </w:r>
      <w:r>
        <w:rPr>
          <w:rFonts w:ascii="Arial" w:eastAsia="Arial" w:hAnsi="Arial"/>
          <w:color w:val="000000"/>
          <w:sz w:val="24"/>
          <w:szCs w:val="24"/>
        </w:rPr>
        <w:lastRenderedPageBreak/>
        <w:t xml:space="preserve">greater than £5m or obligations under a service contract with a total contract value greater than £5m; </w:t>
      </w:r>
    </w:p>
    <w:p w14:paraId="686B5BAC" w14:textId="77777777"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14:paraId="79A8D156" w14:textId="77777777"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14:paraId="5C73DA1C" w14:textId="77777777"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63834667" w14:textId="77777777"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14:paraId="3E30BC47" w14:textId="77777777" w:rsidR="00CB1F10" w:rsidRDefault="001F63C4">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6EB3C7FB" w14:textId="77777777" w:rsidR="00CB1F10" w:rsidRDefault="001F63C4">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020BE05F"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14:paraId="1CAB5D7A"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752DD74E"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7AA9AED6"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5AA55056"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1307D22E"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2E16E782"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3FBC33ED"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where the Relevant Authority reasonably believes (taking into account the discussions and any representations made under </w:t>
      </w:r>
      <w:r>
        <w:rPr>
          <w:rFonts w:ascii="Arial" w:eastAsia="Arial" w:hAnsi="Arial"/>
          <w:color w:val="000000"/>
          <w:sz w:val="24"/>
          <w:szCs w:val="24"/>
        </w:rPr>
        <w:lastRenderedPageBreak/>
        <w:t>Paragraph 4.3.1 that the Financial Distress Event could impact on the continued performance and delivery of the Deliverables in accordance with the Contract:</w:t>
      </w:r>
    </w:p>
    <w:p w14:paraId="3220F2CD" w14:textId="77777777"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350F64EF" w14:textId="77777777"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2AA00316"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7A329CC"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298769E7"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4AF680E2"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6DBB4041" w14:textId="77777777"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439CFBDE" w14:textId="77777777"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lastRenderedPageBreak/>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78775008"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144641B0"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6652BD4D"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0F350DF0"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0164774C"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0641608D"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1521AEB5"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48381E8B"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2BF88B54"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Financial Indicators</w:t>
      </w:r>
    </w:p>
    <w:p w14:paraId="7905D07B"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CB1F10" w14:paraId="7EC6BD17" w14:textId="77777777">
        <w:tc>
          <w:tcPr>
            <w:tcW w:w="2253" w:type="dxa"/>
            <w:shd w:val="clear" w:color="auto" w:fill="D9D9D9"/>
            <w:vAlign w:val="center"/>
          </w:tcPr>
          <w:p w14:paraId="6F1BFD03" w14:textId="77777777"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14:paraId="1FC63F86" w14:textId="77777777"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137FACA8" w14:textId="77777777"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14:paraId="240F6C9E" w14:textId="77777777"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Monitoring and Reporting Frequency [if different from the default position set out in Paragraph 2.3(b)]</w:t>
            </w:r>
          </w:p>
        </w:tc>
      </w:tr>
      <w:tr w:rsidR="00CB1F10" w14:paraId="533A6A5D" w14:textId="77777777">
        <w:tc>
          <w:tcPr>
            <w:tcW w:w="2253" w:type="dxa"/>
            <w:shd w:val="clear" w:color="auto" w:fill="auto"/>
            <w:vAlign w:val="center"/>
          </w:tcPr>
          <w:p w14:paraId="29511770"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26FCF5BC"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14:paraId="516C032A"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37C2423E"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[The higher of (a) the Operating Margin for the most recent 12 month period and (b) the average Operating Margin for the last two 12 month periods]</w:t>
            </w:r>
          </w:p>
        </w:tc>
        <w:tc>
          <w:tcPr>
            <w:tcW w:w="1977" w:type="dxa"/>
            <w:shd w:val="clear" w:color="auto" w:fill="auto"/>
            <w:vAlign w:val="center"/>
          </w:tcPr>
          <w:p w14:paraId="32741226"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shd w:val="clear" w:color="auto" w:fill="auto"/>
            <w:vAlign w:val="center"/>
          </w:tcPr>
          <w:p w14:paraId="29E91C8A"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2.5%</w:t>
            </w:r>
          </w:p>
        </w:tc>
        <w:tc>
          <w:tcPr>
            <w:tcW w:w="3089" w:type="dxa"/>
            <w:shd w:val="clear" w:color="auto" w:fill="auto"/>
            <w:vAlign w:val="center"/>
          </w:tcPr>
          <w:p w14:paraId="6EF8A0B6"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based upon figures for the 12 months ending on the relevant accounting reference date</w:t>
            </w:r>
          </w:p>
        </w:tc>
      </w:tr>
      <w:tr w:rsidR="00CB1F10" w14:paraId="5B4CC63F" w14:textId="77777777">
        <w:tc>
          <w:tcPr>
            <w:tcW w:w="2253" w:type="dxa"/>
            <w:vAlign w:val="center"/>
          </w:tcPr>
          <w:p w14:paraId="030F628E"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0044A33A"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6436A00B" w14:textId="77777777" w:rsidR="00CB1F10" w:rsidRDefault="00CB1F10">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14:paraId="1EA6AAC5"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[Free Cash Flow to Net Debt Ratio = Free Cash Flow / Net Debt]</w:t>
            </w:r>
          </w:p>
          <w:p w14:paraId="7AF21CE8" w14:textId="77777777"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1697" w:type="dxa"/>
            <w:vAlign w:val="center"/>
          </w:tcPr>
          <w:p w14:paraId="354BEC37"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15%</w:t>
            </w:r>
          </w:p>
          <w:p w14:paraId="3CB1BE3E" w14:textId="77777777"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3089" w:type="dxa"/>
            <w:vAlign w:val="center"/>
          </w:tcPr>
          <w:p w14:paraId="09DC1636"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120 days of each accounting reference date based upon Free Cash Flow for the 12 months ending on, and Net Debt at, the relevant accounting reference date </w:t>
            </w:r>
          </w:p>
        </w:tc>
      </w:tr>
      <w:tr w:rsidR="00CB1F10" w14:paraId="4E1C8598" w14:textId="77777777">
        <w:tc>
          <w:tcPr>
            <w:tcW w:w="2253" w:type="dxa"/>
            <w:vAlign w:val="center"/>
          </w:tcPr>
          <w:p w14:paraId="2B5E344E"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580970DF"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14:paraId="7D3C015C"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14:paraId="020D2B46"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2.5 times</w:t>
            </w:r>
          </w:p>
        </w:tc>
        <w:tc>
          <w:tcPr>
            <w:tcW w:w="3089" w:type="dxa"/>
            <w:vAlign w:val="center"/>
          </w:tcPr>
          <w:p w14:paraId="4E41D1DA"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CB1F10" w14:paraId="22B89FB8" w14:textId="77777777">
        <w:tc>
          <w:tcPr>
            <w:tcW w:w="2253" w:type="dxa"/>
            <w:vAlign w:val="center"/>
          </w:tcPr>
          <w:p w14:paraId="373DEA31"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5D4E28B3"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14:paraId="1A7C3F22"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14:paraId="2B8EC89B"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&gt;4.5 times</w:t>
            </w:r>
          </w:p>
        </w:tc>
        <w:tc>
          <w:tcPr>
            <w:tcW w:w="3089" w:type="dxa"/>
            <w:vAlign w:val="center"/>
          </w:tcPr>
          <w:p w14:paraId="1FB2A034"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8064A2"/>
                <w:sz w:val="24"/>
                <w:szCs w:val="24"/>
              </w:rPr>
              <w:t xml:space="preserve"> </w:t>
            </w:r>
            <w:r>
              <w:rPr>
                <w:rFonts w:ascii="Arial" w:eastAsia="Arial" w:hAnsi="Arial"/>
                <w:i/>
                <w:color w:val="000000"/>
                <w:sz w:val="24"/>
                <w:szCs w:val="24"/>
              </w:rPr>
              <w:t>in arrears within 120 days of each accounting reference date based upon figures for the 12 months ending on the relevant accounting reference date</w:t>
            </w:r>
          </w:p>
        </w:tc>
      </w:tr>
      <w:tr w:rsidR="00CB1F10" w14:paraId="66D26235" w14:textId="77777777">
        <w:tc>
          <w:tcPr>
            <w:tcW w:w="2253" w:type="dxa"/>
            <w:vAlign w:val="center"/>
          </w:tcPr>
          <w:p w14:paraId="1FD40B7F"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24C9BCB6"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14:paraId="6A596715"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14:paraId="02D49016"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1times</w:t>
            </w:r>
          </w:p>
        </w:tc>
        <w:tc>
          <w:tcPr>
            <w:tcW w:w="3089" w:type="dxa"/>
            <w:vAlign w:val="center"/>
          </w:tcPr>
          <w:p w14:paraId="2FA84E58"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r>
              <w:rPr>
                <w:rFonts w:ascii="Arial" w:eastAsia="Arial" w:hAnsi="Arial"/>
                <w:i/>
                <w:color w:val="8064A2"/>
                <w:sz w:val="24"/>
                <w:szCs w:val="24"/>
              </w:rPr>
              <w:t xml:space="preserve"> </w:t>
            </w:r>
          </w:p>
        </w:tc>
      </w:tr>
      <w:tr w:rsidR="00CB1F10" w14:paraId="13FBD4AF" w14:textId="77777777">
        <w:tc>
          <w:tcPr>
            <w:tcW w:w="2253" w:type="dxa"/>
            <w:vAlign w:val="center"/>
          </w:tcPr>
          <w:p w14:paraId="300E6CBD"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346E4E33"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14:paraId="06BAD592"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14:paraId="489FE9C0"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£0</w:t>
            </w:r>
          </w:p>
        </w:tc>
        <w:tc>
          <w:tcPr>
            <w:tcW w:w="3089" w:type="dxa"/>
            <w:vAlign w:val="center"/>
          </w:tcPr>
          <w:p w14:paraId="39D74EEE"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p>
        </w:tc>
      </w:tr>
      <w:tr w:rsidR="00CB1F10" w14:paraId="77B69E41" w14:textId="77777777">
        <w:tc>
          <w:tcPr>
            <w:tcW w:w="2253" w:type="dxa"/>
            <w:vAlign w:val="center"/>
          </w:tcPr>
          <w:p w14:paraId="3F1AF758"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088FC689"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14:paraId="0EC027E6"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14:paraId="7CC769E2" w14:textId="77777777"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&lt;25%</w:t>
            </w:r>
          </w:p>
        </w:tc>
        <w:tc>
          <w:tcPr>
            <w:tcW w:w="3089" w:type="dxa"/>
            <w:vAlign w:val="center"/>
          </w:tcPr>
          <w:p w14:paraId="0936004F" w14:textId="77777777"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14:paraId="33E20F5C" w14:textId="77777777" w:rsidR="00CB1F10" w:rsidRDefault="001F63C4">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02741E0F"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14:paraId="3BB1CC90" w14:textId="77777777" w:rsidR="00CB1F10" w:rsidRDefault="00CB1F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CB1F10" w14:paraId="2FB3EFBD" w14:textId="77777777">
        <w:tc>
          <w:tcPr>
            <w:tcW w:w="4073" w:type="dxa"/>
            <w:shd w:val="clear" w:color="auto" w:fill="D9D9D9"/>
          </w:tcPr>
          <w:p w14:paraId="2F01831D"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14:paraId="680FAEFF"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14:paraId="3CB96712"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2" w:name="_heading=h.3whwml4" w:colFirst="0" w:colLast="0"/>
            <w:bookmarkEnd w:id="2"/>
            <w:r>
              <w:rPr>
                <w:rFonts w:ascii="Arial" w:eastAsia="Arial" w:hAnsi="Arial"/>
                <w:color w:val="000000"/>
                <w:sz w:val="24"/>
                <w:szCs w:val="24"/>
              </w:rPr>
              <w:t>(these are the Financial Indicators from the table in Paragraph 5.1 which are to apply to the Monitored Suppliers)</w:t>
            </w:r>
          </w:p>
        </w:tc>
      </w:tr>
      <w:tr w:rsidR="00CB1F10" w14:paraId="7E7FE3CF" w14:textId="77777777">
        <w:tc>
          <w:tcPr>
            <w:tcW w:w="4073" w:type="dxa"/>
          </w:tcPr>
          <w:p w14:paraId="2500E31A" w14:textId="77777777" w:rsidR="00CB1F10" w:rsidRDefault="00DC7653">
            <w:pPr>
              <w:pBdr>
                <w:top w:val="nil"/>
                <w:left w:val="nil"/>
                <w:bottom w:val="nil"/>
                <w:right w:val="nil"/>
                <w:between w:val="nil"/>
              </w:pBdr>
              <w:spacing w:before="100" w:after="200"/>
              <w:jc w:val="left"/>
              <w:rPr>
                <w:rFonts w:ascii="Arial" w:eastAsia="Arial" w:hAnsi="Arial"/>
                <w:color w:val="000000"/>
                <w:sz w:val="24"/>
                <w:szCs w:val="24"/>
              </w:rPr>
            </w:pPr>
            <w:r w:rsidRPr="00DC350A">
              <w:rPr>
                <w:rFonts w:ascii="Arial" w:eastAsia="Arial" w:hAnsi="Arial"/>
                <w:color w:val="000000"/>
                <w:sz w:val="24"/>
                <w:szCs w:val="24"/>
              </w:rPr>
              <w:t>Russell Reynolds Associates Ltd</w:t>
            </w:r>
          </w:p>
        </w:tc>
        <w:tc>
          <w:tcPr>
            <w:tcW w:w="4223" w:type="dxa"/>
          </w:tcPr>
          <w:p w14:paraId="2E153430" w14:textId="77777777" w:rsidR="00CB1F10" w:rsidRDefault="00DC7653">
            <w:pPr>
              <w:pBdr>
                <w:top w:val="nil"/>
                <w:left w:val="nil"/>
                <w:bottom w:val="nil"/>
                <w:right w:val="nil"/>
                <w:between w:val="nil"/>
              </w:pBdr>
              <w:spacing w:before="100" w:after="200"/>
              <w:jc w:val="left"/>
              <w:rPr>
                <w:rFonts w:ascii="Arial" w:eastAsia="Arial" w:hAnsi="Arial"/>
                <w:color w:val="000000"/>
                <w:sz w:val="24"/>
                <w:szCs w:val="24"/>
              </w:rPr>
            </w:pPr>
            <w:r w:rsidRPr="00DC350A">
              <w:rPr>
                <w:rFonts w:ascii="Arial" w:eastAsia="Arial" w:hAnsi="Arial"/>
                <w:color w:val="000000"/>
                <w:sz w:val="24"/>
                <w:szCs w:val="24"/>
              </w:rPr>
              <w:t>1/2/3/4/5/6/7</w:t>
            </w:r>
          </w:p>
        </w:tc>
      </w:tr>
    </w:tbl>
    <w:p w14:paraId="0B537C41" w14:textId="77777777" w:rsidR="00CB1F10" w:rsidRDefault="00CB1F10">
      <w:pPr>
        <w:pBdr>
          <w:top w:val="nil"/>
          <w:left w:val="nil"/>
          <w:bottom w:val="nil"/>
          <w:right w:val="nil"/>
          <w:between w:val="nil"/>
        </w:pBdr>
        <w:tabs>
          <w:tab w:val="left" w:pos="1134"/>
        </w:tabs>
        <w:spacing w:before="120" w:after="120"/>
        <w:ind w:left="360" w:hanging="1004"/>
        <w:jc w:val="left"/>
        <w:rPr>
          <w:rFonts w:eastAsia="Calibri" w:cs="Calibri"/>
          <w:color w:val="000000"/>
        </w:rPr>
      </w:pPr>
    </w:p>
    <w:p w14:paraId="1CD28D6D"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548850D5"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0C91EB1A"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fails to notify the Relevant Authority of a Financial Distress Event in accordance with Paragraph 2.3.3;</w:t>
      </w:r>
    </w:p>
    <w:p w14:paraId="54F4F140"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53D815EA"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14:paraId="23CDA0E7" w14:textId="77777777" w:rsidR="00CB1F10" w:rsidRDefault="001F63C4">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22A2912A"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51A7CA87"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2D1187D1"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494308C"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1417399D"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5A09EBD7"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bookmarkStart w:id="3" w:name="_GoBack"/>
      <w:bookmarkEnd w:id="3"/>
    </w:p>
    <w:p w14:paraId="49A96C99"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03B80D17" w14:textId="77777777"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46DAE739"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6E55491"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respect of the first Board Confirmation to be provided under this Contract, the Supplier shall provide the Board Confirmation within 15 months of the Effective </w:t>
      </w:r>
      <w:r>
        <w:rPr>
          <w:rFonts w:ascii="Arial" w:eastAsia="Arial" w:hAnsi="Arial"/>
          <w:color w:val="000000"/>
          <w:sz w:val="24"/>
          <w:szCs w:val="24"/>
        </w:rPr>
        <w:lastRenderedPageBreak/>
        <w:t>Date if earlier than the timescale for submission set out in Paragraph 8.1 of this Schedule.</w:t>
      </w:r>
    </w:p>
    <w:p w14:paraId="36EA16DE" w14:textId="77777777"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D7C1478" w14:textId="77777777"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14:paraId="2C2A26EC" w14:textId="77777777"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14:paraId="6823F1B7" w14:textId="77777777" w:rsidR="00CB1F10" w:rsidRDefault="00CB1F10">
      <w:pPr>
        <w:pBdr>
          <w:top w:val="nil"/>
          <w:left w:val="nil"/>
          <w:bottom w:val="nil"/>
          <w:right w:val="nil"/>
          <w:between w:val="nil"/>
        </w:pBdr>
        <w:tabs>
          <w:tab w:val="left" w:pos="142"/>
        </w:tabs>
        <w:spacing w:before="120"/>
        <w:ind w:left="360" w:hanging="360"/>
        <w:rPr>
          <w:rFonts w:eastAsia="Calibri" w:cs="Calibri"/>
          <w:b/>
          <w:smallCaps/>
          <w:color w:val="000000"/>
        </w:rPr>
      </w:pPr>
    </w:p>
    <w:p w14:paraId="45FCEC58" w14:textId="77777777" w:rsidR="00CB1F10" w:rsidRDefault="001F63C4">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1303D745" w14:textId="77777777"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14:paraId="156629BE" w14:textId="77777777" w:rsidR="00CB1F10" w:rsidRDefault="001F63C4">
      <w:pPr>
        <w:spacing w:after="200" w:line="276" w:lineRule="auto"/>
        <w:jc w:val="left"/>
        <w:rPr>
          <w:rFonts w:ascii="Arial" w:eastAsia="Arial" w:hAnsi="Arial"/>
          <w:sz w:val="24"/>
          <w:szCs w:val="24"/>
        </w:rPr>
      </w:pPr>
      <w:r>
        <w:br w:type="page"/>
      </w:r>
    </w:p>
    <w:p w14:paraId="0B5C0FEE" w14:textId="77777777" w:rsidR="00CB1F10" w:rsidRDefault="001F63C4">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heading=h.2bn6wsx"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CB1F10" w14:paraId="23E2FED8" w14:textId="77777777">
        <w:tc>
          <w:tcPr>
            <w:tcW w:w="3080" w:type="dxa"/>
            <w:tcBorders>
              <w:top w:val="single" w:sz="4" w:space="0" w:color="000000"/>
            </w:tcBorders>
            <w:shd w:val="clear" w:color="auto" w:fill="FFFFFF"/>
          </w:tcPr>
          <w:p w14:paraId="65DBCFE3" w14:textId="77777777"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CC31AAC" w14:textId="77777777"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14:paraId="14D4FA81" w14:textId="77777777">
        <w:tc>
          <w:tcPr>
            <w:tcW w:w="3080" w:type="dxa"/>
            <w:shd w:val="clear" w:color="auto" w:fill="FFFFFF"/>
          </w:tcPr>
          <w:p w14:paraId="56576D73" w14:textId="77777777"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730EAB77" w14:textId="77777777"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14:paraId="53EF1A31" w14:textId="77777777">
        <w:tc>
          <w:tcPr>
            <w:tcW w:w="3080" w:type="dxa"/>
            <w:shd w:val="clear" w:color="auto" w:fill="FFFFFF"/>
          </w:tcPr>
          <w:p w14:paraId="499AED85" w14:textId="77777777"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sidRPr="00C340A3">
              <w:rPr>
                <w:rFonts w:ascii="Arial" w:eastAsia="Arial" w:hAnsi="Arial"/>
                <w:color w:val="000000"/>
                <w:sz w:val="24"/>
                <w:szCs w:val="24"/>
              </w:rPr>
              <w:t>[Guarantor]</w:t>
            </w:r>
          </w:p>
        </w:tc>
        <w:tc>
          <w:tcPr>
            <w:tcW w:w="3081" w:type="dxa"/>
            <w:shd w:val="clear" w:color="auto" w:fill="FFFFFF"/>
          </w:tcPr>
          <w:p w14:paraId="5796EC2B" w14:textId="77777777"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14:paraId="1E74E399" w14:textId="77777777">
        <w:tc>
          <w:tcPr>
            <w:tcW w:w="3080" w:type="dxa"/>
            <w:tcBorders>
              <w:bottom w:val="single" w:sz="4" w:space="0" w:color="000000"/>
            </w:tcBorders>
            <w:shd w:val="clear" w:color="auto" w:fill="FFFFFF"/>
          </w:tcPr>
          <w:p w14:paraId="16CCAB36" w14:textId="77777777" w:rsidR="00CB1F10" w:rsidRPr="00C340A3"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sidRPr="00C340A3">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44D0EF30" w14:textId="77777777"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054C3249"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5731DBDB" w14:textId="77777777" w:rsidR="00CB1F10" w:rsidRDefault="001F63C4">
      <w:pPr>
        <w:spacing w:after="200" w:line="276" w:lineRule="auto"/>
        <w:jc w:val="left"/>
        <w:rPr>
          <w:rFonts w:ascii="Arial" w:eastAsia="Arial" w:hAnsi="Arial"/>
          <w:sz w:val="24"/>
          <w:szCs w:val="24"/>
        </w:rPr>
      </w:pPr>
      <w:r>
        <w:br w:type="page"/>
      </w:r>
    </w:p>
    <w:p w14:paraId="2ECC4962"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14:paraId="6E2812DC" w14:textId="77777777" w:rsidR="00CB1F10" w:rsidRDefault="001F63C4">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qsh70q" w:colFirst="0" w:colLast="0"/>
      <w:bookmarkEnd w:id="5"/>
      <w:r w:rsidRPr="00C340A3">
        <w:rPr>
          <w:rFonts w:ascii="Arial" w:eastAsia="Arial" w:hAnsi="Arial"/>
          <w:b/>
          <w:i/>
          <w:color w:val="000000"/>
          <w:sz w:val="24"/>
          <w:szCs w:val="24"/>
        </w:rPr>
        <w:t>[Guidance: Amend this section as appropriate to reflect the calculation methodology for those Financial Indicators that are selected for inclusion in Paragraph 5.1 of this Schedule]</w:t>
      </w:r>
    </w:p>
    <w:p w14:paraId="12686F18"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4B7AB838"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3DFA27A4" w14:textId="77777777"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40CF9C9D" w14:textId="77777777"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3as4poj"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77B80B4C" w14:textId="77777777"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6A9661C3" w14:textId="77777777"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2631591F" w14:textId="77777777" w:rsidR="00CB1F10" w:rsidRDefault="001F63C4">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CB1F10" w14:paraId="0F5D338D" w14:textId="77777777">
        <w:tc>
          <w:tcPr>
            <w:tcW w:w="2538" w:type="dxa"/>
            <w:shd w:val="clear" w:color="auto" w:fill="D9D9D9"/>
          </w:tcPr>
          <w:p w14:paraId="4E34C796"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59D9B0B7"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CB1F10" w14:paraId="2EAA308A" w14:textId="77777777">
        <w:tc>
          <w:tcPr>
            <w:tcW w:w="2538" w:type="dxa"/>
            <w:vAlign w:val="center"/>
          </w:tcPr>
          <w:p w14:paraId="058F5E40"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681F6F4D"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18FDC3B4"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5A4984FD"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517FCB61"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CB1F10" w14:paraId="0A9441C8" w14:textId="77777777">
        <w:tc>
          <w:tcPr>
            <w:tcW w:w="2538" w:type="dxa"/>
          </w:tcPr>
          <w:p w14:paraId="5214F1FA"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0893E77B"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2D23FD20"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58B28B3E"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5494A276"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65297A02"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033A8336"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76C851FB"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7DFE0032"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145A723B"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6CDD02D8"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75C30842"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5620CC7A"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435151F1"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1C15A6D"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11B6D334"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DD12FEF"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4D28A696"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B8B9C43"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5F69307"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7F734177"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03A36ED7"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FDFE448"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3B455E25"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6F398FEC"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0E5352D0"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D9CB5A1"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6FF0A093"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7D4D255A"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139EFAF0"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550D8BCC"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03B8FD4F"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6ADA7E43"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5B2AC3E1"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12A96C2D"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14:paraId="08A7C13C"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26ACC7D5"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4D7AF039"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05E9D3E"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48C30187"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7C1E861C"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3A0BE83E"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75D966F7"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305006C5"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92082EB"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14:paraId="3F4B328F"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42DF72D6"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1145623F"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DD6D0F2"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251AA763"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CB1F10" w14:paraId="62E38026" w14:textId="77777777">
        <w:tc>
          <w:tcPr>
            <w:tcW w:w="2538" w:type="dxa"/>
          </w:tcPr>
          <w:p w14:paraId="74AC4DB3"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112DC723"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14:paraId="243D4DFA"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5EE53581"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1A426CDC"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156E2FB"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14:paraId="7D4E6D5A"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44C62269"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0023002C"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59CA4C48"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40DD5E1E"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077085B6"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02C63E4F"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8" w:name="_heading=h.49x2ik5"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0A51101B"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CB1F10" w14:paraId="2A6987A3" w14:textId="77777777">
        <w:tc>
          <w:tcPr>
            <w:tcW w:w="2538" w:type="dxa"/>
            <w:vAlign w:val="center"/>
          </w:tcPr>
          <w:p w14:paraId="4CB8264F"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4FA28090"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282AE251"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1038F447"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73FFF9C4"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and, for the purposes of calculating this Financial Indicator, </w:t>
            </w:r>
            <w:r>
              <w:rPr>
                <w:rFonts w:ascii="Arial" w:eastAsia="Arial" w:hAnsi="Arial"/>
                <w:color w:val="000000"/>
                <w:sz w:val="24"/>
                <w:szCs w:val="24"/>
              </w:rPr>
              <w:lastRenderedPageBreak/>
              <w:t>should include the entity’s share of the results of any joint ventures or Associates.</w:t>
            </w:r>
          </w:p>
          <w:p w14:paraId="3E1DDA53"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1A4D8164"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CB1F10" w14:paraId="3F8D186B" w14:textId="77777777">
        <w:tc>
          <w:tcPr>
            <w:tcW w:w="2538" w:type="dxa"/>
            <w:vAlign w:val="center"/>
          </w:tcPr>
          <w:p w14:paraId="2D85356F"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6A5FA628"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72764DA1"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CB1F10" w14:paraId="0466D257" w14:textId="77777777">
        <w:tc>
          <w:tcPr>
            <w:tcW w:w="2538" w:type="dxa"/>
            <w:vAlign w:val="center"/>
          </w:tcPr>
          <w:p w14:paraId="22EE8F53"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34FD1D73"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14:paraId="6D5F8464"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CB1F10" w14:paraId="7A3123CC" w14:textId="77777777">
        <w:tc>
          <w:tcPr>
            <w:tcW w:w="2538" w:type="dxa"/>
            <w:vAlign w:val="center"/>
          </w:tcPr>
          <w:p w14:paraId="779FF731"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4EDB1DB8"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14:paraId="470FECB1"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14:paraId="48F81BC4"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14:paraId="714E0365"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58E527AF"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6A30574A"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14:paraId="5B918F3E" w14:textId="77777777"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r w:rsidR="00CB1F10" w14:paraId="413A73E1" w14:textId="77777777">
        <w:tc>
          <w:tcPr>
            <w:tcW w:w="2538" w:type="dxa"/>
            <w:vAlign w:val="center"/>
          </w:tcPr>
          <w:p w14:paraId="4A3746FD"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14:paraId="45AB37BE"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Insert additional Financial Indicators as necessary</w:t>
            </w:r>
          </w:p>
        </w:tc>
        <w:tc>
          <w:tcPr>
            <w:tcW w:w="6478" w:type="dxa"/>
          </w:tcPr>
          <w:p w14:paraId="54865A13" w14:textId="77777777" w:rsidR="00CB1F10" w:rsidRDefault="001F63C4">
            <w:pPr>
              <w:pBdr>
                <w:top w:val="nil"/>
                <w:left w:val="nil"/>
                <w:bottom w:val="nil"/>
                <w:right w:val="nil"/>
                <w:between w:val="nil"/>
              </w:pBdr>
              <w:spacing w:before="100" w:after="200"/>
              <w:jc w:val="left"/>
              <w:rPr>
                <w:rFonts w:ascii="Arial" w:eastAsia="Arial" w:hAnsi="Arial"/>
                <w:i/>
                <w:color w:val="000000"/>
                <w:sz w:val="24"/>
                <w:szCs w:val="24"/>
                <w:u w:val="single"/>
              </w:rPr>
            </w:pPr>
            <w:r>
              <w:rPr>
                <w:rFonts w:ascii="Arial" w:eastAsia="Arial" w:hAnsi="Arial"/>
                <w:i/>
                <w:color w:val="000000"/>
                <w:sz w:val="24"/>
                <w:szCs w:val="24"/>
                <w:u w:val="single"/>
              </w:rPr>
              <w:t>[Etc..]</w:t>
            </w:r>
          </w:p>
        </w:tc>
      </w:tr>
    </w:tbl>
    <w:p w14:paraId="7A7C4491"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0C5F79F9" w14:textId="77777777" w:rsidR="00CB1F10" w:rsidRDefault="001F63C4">
      <w:pPr>
        <w:spacing w:after="200" w:line="276" w:lineRule="auto"/>
        <w:jc w:val="left"/>
        <w:rPr>
          <w:rFonts w:ascii="Arial" w:eastAsia="Arial" w:hAnsi="Arial"/>
          <w:sz w:val="24"/>
          <w:szCs w:val="24"/>
        </w:rPr>
      </w:pPr>
      <w:r>
        <w:br w:type="page"/>
      </w:r>
    </w:p>
    <w:p w14:paraId="45D6EC58" w14:textId="77777777" w:rsidR="00CB1F10" w:rsidRDefault="001F63C4">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2p2csry" w:colFirst="0" w:colLast="0"/>
      <w:bookmarkEnd w:id="9"/>
      <w:r>
        <w:rPr>
          <w:rFonts w:ascii="Arial Bold" w:eastAsia="Arial Bold" w:hAnsi="Arial Bold" w:cs="Arial Bold"/>
          <w:b/>
          <w:smallCaps/>
          <w:color w:val="000000"/>
          <w:sz w:val="24"/>
          <w:szCs w:val="24"/>
        </w:rPr>
        <w:lastRenderedPageBreak/>
        <w:t>Annex 4: Board Confirmation</w:t>
      </w:r>
    </w:p>
    <w:p w14:paraId="6135D039"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6881F5E5"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5CC32E34" w14:textId="77777777"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46D05CD4"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428605FC" w14:textId="77777777"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2AA06DA3" w14:textId="77777777"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679ADEEE" w14:textId="77777777"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3B672CB3" w14:textId="77777777"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002A9983"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7D4FD8D4" w14:textId="77777777"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7B3E3D97"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1DCDCCC2" w14:textId="77777777"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7B34EE89" w14:textId="77777777"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8B00996" w14:textId="77777777"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46C973B"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64F2A72C" w14:textId="77777777"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4C041CAC" w14:textId="77777777"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54CCDC95" w14:textId="77777777"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23721C2" w14:textId="77777777"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14:paraId="28170351" w14:textId="77777777" w:rsidR="00CB1F10" w:rsidRDefault="001F63C4">
      <w:pPr>
        <w:spacing w:after="200" w:line="276" w:lineRule="auto"/>
        <w:jc w:val="left"/>
        <w:rPr>
          <w:rFonts w:ascii="Arial" w:eastAsia="Arial" w:hAnsi="Arial"/>
          <w:sz w:val="36"/>
          <w:szCs w:val="36"/>
        </w:rPr>
      </w:pPr>
      <w:r>
        <w:br w:type="page"/>
      </w:r>
    </w:p>
    <w:p w14:paraId="15E70D39" w14:textId="77777777" w:rsidR="00CB1F10" w:rsidRDefault="00CB1F10">
      <w:pPr>
        <w:spacing w:after="200" w:line="276" w:lineRule="auto"/>
        <w:jc w:val="left"/>
        <w:rPr>
          <w:rFonts w:ascii="Arial" w:eastAsia="Arial" w:hAnsi="Arial"/>
          <w:sz w:val="36"/>
          <w:szCs w:val="36"/>
        </w:rPr>
      </w:pPr>
    </w:p>
    <w:p w14:paraId="5BF31288" w14:textId="77777777" w:rsidR="00CB1F10" w:rsidRDefault="001F63C4">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14:paraId="171AC88C" w14:textId="77777777" w:rsidR="00CB1F10" w:rsidRDefault="001F63C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98C4DDD" w14:textId="77777777"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CB1F10" w14:paraId="1593943E" w14:textId="77777777">
        <w:tc>
          <w:tcPr>
            <w:tcW w:w="2462" w:type="dxa"/>
          </w:tcPr>
          <w:p w14:paraId="16942188" w14:textId="77777777"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"Credit Rating Threshold"</w:t>
            </w:r>
          </w:p>
        </w:tc>
        <w:tc>
          <w:tcPr>
            <w:tcW w:w="5098" w:type="dxa"/>
          </w:tcPr>
          <w:p w14:paraId="4BD716D4" w14:textId="77777777"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CB1F10" w14:paraId="2B76DD31" w14:textId="77777777">
        <w:tc>
          <w:tcPr>
            <w:tcW w:w="2462" w:type="dxa"/>
          </w:tcPr>
          <w:p w14:paraId="59AABE1A" w14:textId="77777777"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"Financial Distress Event"</w:t>
            </w:r>
          </w:p>
        </w:tc>
        <w:tc>
          <w:tcPr>
            <w:tcW w:w="5098" w:type="dxa"/>
          </w:tcPr>
          <w:p w14:paraId="064BD267" w14:textId="77777777"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25D35C90" w14:textId="77777777"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892BB0F" w14:textId="77777777"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701EF182" w14:textId="77777777"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6E23F7DE" w14:textId="77777777"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74E8F25C" w14:textId="77777777"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27A6B739" w14:textId="77777777"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1CFCCAA" w14:textId="77777777"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5BEB701F" w14:textId="77777777"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non-payment by the Monitored Company of any financial indebtedness;</w:t>
            </w:r>
          </w:p>
          <w:p w14:paraId="72393159" w14:textId="77777777"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1727063D" w14:textId="77777777"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4F272302" w14:textId="77777777"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CB1F10" w14:paraId="669E466B" w14:textId="77777777">
        <w:tc>
          <w:tcPr>
            <w:tcW w:w="2462" w:type="dxa"/>
          </w:tcPr>
          <w:p w14:paraId="0A1075FF" w14:textId="77777777"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348B7F45" w14:textId="77777777"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CB1F10" w14:paraId="3F61BAA2" w14:textId="77777777">
        <w:tc>
          <w:tcPr>
            <w:tcW w:w="2462" w:type="dxa"/>
          </w:tcPr>
          <w:p w14:paraId="6100543B" w14:textId="77777777"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“Monitored Company”</w:t>
            </w:r>
          </w:p>
        </w:tc>
        <w:tc>
          <w:tcPr>
            <w:tcW w:w="5098" w:type="dxa"/>
          </w:tcPr>
          <w:p w14:paraId="64AC41B5" w14:textId="77777777"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C340A3">
              <w:rPr>
                <w:rFonts w:ascii="Arial" w:eastAsia="Arial" w:hAnsi="Arial"/>
                <w:color w:val="000000"/>
                <w:sz w:val="24"/>
                <w:szCs w:val="24"/>
              </w:rPr>
              <w:t>[the Guarantor] or any Key Subcontractor]</w:t>
            </w:r>
          </w:p>
        </w:tc>
      </w:tr>
      <w:tr w:rsidR="00CB1F10" w14:paraId="42669E1A" w14:textId="77777777">
        <w:tc>
          <w:tcPr>
            <w:tcW w:w="2462" w:type="dxa"/>
          </w:tcPr>
          <w:p w14:paraId="2341B8B0" w14:textId="77777777"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"Rating Agencies"</w:t>
            </w:r>
          </w:p>
        </w:tc>
        <w:tc>
          <w:tcPr>
            <w:tcW w:w="5098" w:type="dxa"/>
          </w:tcPr>
          <w:p w14:paraId="2B56F7A1" w14:textId="77777777"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14:paraId="75CC1147" w14:textId="77777777"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11" w:name="_heading=h.3o7alnk" w:colFirst="0" w:colLast="0"/>
      <w:bookmarkEnd w:id="11"/>
      <w:r>
        <w:rPr>
          <w:rFonts w:ascii="Arial Bold" w:eastAsia="Arial Bold" w:hAnsi="Arial Bold" w:cs="Arial Bold"/>
          <w:b/>
          <w:color w:val="000000"/>
          <w:sz w:val="24"/>
          <w:szCs w:val="24"/>
        </w:rPr>
        <w:t>When this Schedule applies</w:t>
      </w:r>
    </w:p>
    <w:p w14:paraId="30BFB5B9"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14:paraId="45AB4775"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14:paraId="56E137C2"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1924E8AB"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37FE9DC5" w14:textId="77777777"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3DF76A81"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3ckvvd" w:colFirst="0" w:colLast="0"/>
      <w:bookmarkEnd w:id="12"/>
      <w:r>
        <w:rPr>
          <w:rFonts w:ascii="Arial" w:eastAsia="Arial" w:hAnsi="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14:paraId="57BDABD5"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14:paraId="2275E379"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ihv636" w:colFirst="0" w:colLast="0"/>
      <w:bookmarkEnd w:id="13"/>
      <w:r>
        <w:rPr>
          <w:rFonts w:ascii="Arial" w:eastAsia="Arial" w:hAnsi="Arial"/>
          <w:color w:val="000000"/>
          <w:sz w:val="24"/>
          <w:szCs w:val="24"/>
        </w:rPr>
        <w:lastRenderedPageBreak/>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w:t>
      </w:r>
    </w:p>
    <w:p w14:paraId="1FA44B50"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w:t>
      </w:r>
    </w:p>
    <w:p w14:paraId="7CE9F1EF"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35F34EAB"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2hioqz" w:colFirst="0" w:colLast="0"/>
      <w:bookmarkEnd w:id="14"/>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21DBEE0"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A307F86" w14:textId="77777777"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What happens if there is a financial distress event</w:t>
      </w:r>
    </w:p>
    <w:p w14:paraId="119923F4"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1hmsyys" w:colFirst="0" w:colLast="0"/>
      <w:bookmarkEnd w:id="15"/>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3B050D2D"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4BD74067"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1BCE8D15"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5E07140D" w14:textId="77777777"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41mghml" w:colFirst="0" w:colLast="0"/>
      <w:bookmarkEnd w:id="16"/>
      <w:r>
        <w:rPr>
          <w:rFonts w:ascii="Arial" w:eastAsia="Arial" w:hAnsi="Arial"/>
          <w:color w:val="000000"/>
          <w:sz w:val="24"/>
          <w:szCs w:val="24"/>
        </w:rPr>
        <w:t>The Supplier shall and shall procure that the other Monitored Companies shall:</w:t>
      </w:r>
    </w:p>
    <w:p w14:paraId="5099241E"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2grqrue" w:colFirst="0" w:colLast="0"/>
      <w:bookmarkEnd w:id="17"/>
      <w:r>
        <w:rPr>
          <w:rFonts w:ascii="Arial" w:eastAsia="Arial" w:hAnsi="Arial"/>
          <w:color w:val="000000"/>
          <w:sz w:val="24"/>
          <w:szCs w:val="24"/>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w:t>
      </w:r>
      <w:r>
        <w:rPr>
          <w:rFonts w:ascii="Arial" w:eastAsia="Arial" w:hAnsi="Arial"/>
          <w:color w:val="000000"/>
          <w:sz w:val="24"/>
          <w:szCs w:val="24"/>
        </w:rPr>
        <w:lastRenderedPageBreak/>
        <w:t>performance of each Contract and delivery of the Deliverables in accordance each Call-Off Contract; and</w:t>
      </w:r>
    </w:p>
    <w:p w14:paraId="1E0B743C"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vx1227" w:colFirst="0" w:colLast="0"/>
      <w:bookmarkEnd w:id="18"/>
      <w:r>
        <w:rPr>
          <w:rFonts w:ascii="Arial" w:eastAsia="Arial" w:hAnsi="Arial"/>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3876D366" w14:textId="77777777"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4198D356" w14:textId="77777777"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3fwokq0" w:colFirst="0" w:colLast="0"/>
      <w:bookmarkEnd w:id="19"/>
      <w:r>
        <w:rPr>
          <w:rFonts w:ascii="Arial" w:eastAsia="Arial" w:hAnsi="Arial"/>
          <w:color w:val="000000"/>
          <w:sz w:val="24"/>
          <w:szCs w:val="24"/>
        </w:rPr>
        <w:t>provide such financial information relating to the Monitored Company as the Relevant Authority may reasonably require.</w:t>
      </w:r>
    </w:p>
    <w:p w14:paraId="1EF05792"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0" w:name="_heading=h.1v1yuxt" w:colFirst="0" w:colLast="0"/>
      <w:bookmarkEnd w:id="20"/>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055C40E7"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4f1mdlm" w:colFirst="0" w:colLast="0"/>
      <w:bookmarkEnd w:id="21"/>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3F328E9F" w14:textId="77777777"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2u6wntf" w:colFirst="0" w:colLast="0"/>
      <w:bookmarkEnd w:id="22"/>
      <w:r>
        <w:rPr>
          <w:rFonts w:ascii="Arial" w:eastAsia="Arial" w:hAnsi="Arial"/>
          <w:color w:val="000000"/>
          <w:sz w:val="24"/>
          <w:szCs w:val="24"/>
        </w:rPr>
        <w:t>Following Approval of the Financial Distress Service Continuity Plan by the Relevant Authority, the Supplier shall:</w:t>
      </w:r>
    </w:p>
    <w:p w14:paraId="11964627"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19c6y18" w:colFirst="0" w:colLast="0"/>
      <w:bookmarkEnd w:id="2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4D0DF838"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3tbugp1" w:colFirst="0" w:colLast="0"/>
      <w:bookmarkEnd w:id="2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2BF86312"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28h4qwu" w:colFirst="0" w:colLast="0"/>
      <w:bookmarkEnd w:id="25"/>
      <w:r>
        <w:rPr>
          <w:rFonts w:ascii="Arial" w:eastAsia="Arial" w:hAnsi="Arial"/>
          <w:color w:val="000000"/>
          <w:sz w:val="24"/>
          <w:szCs w:val="24"/>
        </w:rPr>
        <w:lastRenderedPageBreak/>
        <w:t>comply with the Financial Distress Service Continuity Plan (including any updated Financial Distress Service Continuity Plan).</w:t>
      </w:r>
    </w:p>
    <w:p w14:paraId="72FD8480"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6" w:name="_heading=h.nmf14n" w:colFirst="0" w:colLast="0"/>
      <w:bookmarkEnd w:id="2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02D10FF9"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295E8578" w14:textId="77777777"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2A332769" w14:textId="77777777"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37m2jsg" w:colFirst="0" w:colLast="0"/>
      <w:bookmarkEnd w:id="27"/>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077BB752"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14:paraId="303485E7"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14:paraId="6A01C2D6"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609C765D" w14:textId="77777777"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6D75B9D4" w14:textId="77777777"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28" w:name="_heading=h.1mrcu09" w:colFirst="0" w:colLast="0"/>
      <w:bookmarkEnd w:id="28"/>
      <w:r>
        <w:rPr>
          <w:rFonts w:ascii="Arial Bold" w:eastAsia="Arial Bold" w:hAnsi="Arial Bold" w:cs="Arial Bold"/>
          <w:b/>
          <w:color w:val="000000"/>
          <w:sz w:val="24"/>
          <w:szCs w:val="24"/>
        </w:rPr>
        <w:t>What happens If your credit rating is still good</w:t>
      </w:r>
    </w:p>
    <w:p w14:paraId="5866F75F" w14:textId="77777777"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012CCD02"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2EC182DF" w14:textId="77777777"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14:paraId="50C660E1" w14:textId="77777777" w:rsidR="00CB1F10" w:rsidRDefault="00CB1F10"/>
    <w:p w14:paraId="657F8219" w14:textId="77777777" w:rsidR="00CB1F10" w:rsidRDefault="00CB1F10">
      <w:pPr>
        <w:pBdr>
          <w:top w:val="nil"/>
          <w:left w:val="nil"/>
          <w:bottom w:val="nil"/>
          <w:right w:val="nil"/>
          <w:between w:val="nil"/>
        </w:pBdr>
        <w:spacing w:after="0"/>
        <w:jc w:val="left"/>
        <w:rPr>
          <w:rFonts w:ascii="Arial" w:eastAsia="Arial" w:hAnsi="Arial"/>
          <w:color w:val="FFFFFF"/>
          <w:sz w:val="24"/>
          <w:szCs w:val="24"/>
        </w:rPr>
      </w:pPr>
      <w:bookmarkStart w:id="29" w:name="_heading=h.4i7ojhp" w:colFirst="0" w:colLast="0"/>
      <w:bookmarkEnd w:id="29"/>
    </w:p>
    <w:p w14:paraId="67AEDFE2" w14:textId="77777777" w:rsidR="00CB1F10" w:rsidRDefault="001F63C4">
      <w:pPr>
        <w:keepNext/>
        <w:pBdr>
          <w:top w:val="nil"/>
          <w:left w:val="nil"/>
          <w:bottom w:val="nil"/>
          <w:right w:val="nil"/>
          <w:between w:val="nil"/>
        </w:pBdr>
        <w:ind w:firstLine="426"/>
        <w:jc w:val="left"/>
        <w:rPr>
          <w:rFonts w:ascii="Arial" w:eastAsia="Arial" w:hAnsi="Arial"/>
          <w:b/>
          <w:smallCaps/>
          <w:color w:val="000000"/>
          <w:sz w:val="24"/>
          <w:szCs w:val="24"/>
        </w:rPr>
      </w:pPr>
      <w:bookmarkStart w:id="30" w:name="_heading=h.46r0co2" w:colFirst="0" w:colLast="0"/>
      <w:bookmarkEnd w:id="30"/>
      <w:r>
        <w:br w:type="page"/>
      </w:r>
    </w:p>
    <w:p w14:paraId="3ACFC309" w14:textId="77777777" w:rsidR="00CB1F10" w:rsidRDefault="001F63C4">
      <w:pPr>
        <w:keepNext/>
        <w:pBdr>
          <w:top w:val="nil"/>
          <w:left w:val="nil"/>
          <w:bottom w:val="nil"/>
          <w:right w:val="nil"/>
          <w:between w:val="nil"/>
        </w:pBdr>
        <w:ind w:firstLine="426"/>
        <w:jc w:val="left"/>
        <w:rPr>
          <w:rFonts w:ascii="Arial" w:eastAsia="Arial" w:hAnsi="Arial"/>
          <w:smallCaps/>
          <w:color w:val="000000"/>
          <w:sz w:val="36"/>
          <w:szCs w:val="36"/>
        </w:rPr>
      </w:pPr>
      <w:bookmarkStart w:id="31" w:name="_heading=h.2lwamvv" w:colFirst="0" w:colLast="0"/>
      <w:bookmarkEnd w:id="31"/>
      <w:r>
        <w:rPr>
          <w:rFonts w:ascii="Arial" w:eastAsia="Arial" w:hAnsi="Arial"/>
          <w:b/>
          <w:smallCaps/>
          <w:color w:val="000000"/>
          <w:sz w:val="36"/>
          <w:szCs w:val="36"/>
        </w:rPr>
        <w:lastRenderedPageBreak/>
        <w:t>Appendix 1: RATING AGENCIES</w:t>
      </w:r>
    </w:p>
    <w:p w14:paraId="4F79F341" w14:textId="77777777"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14:paraId="1475ED4B" w14:textId="77777777"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bookmarkStart w:id="32" w:name="_heading=h.111kx3o" w:colFirst="0" w:colLast="0"/>
      <w:bookmarkEnd w:id="32"/>
      <w:r>
        <w:br w:type="page"/>
      </w:r>
      <w:r>
        <w:rPr>
          <w:rFonts w:ascii="Arial" w:eastAsia="Arial" w:hAnsi="Arial"/>
          <w:b/>
          <w:smallCaps/>
          <w:color w:val="000000"/>
          <w:sz w:val="36"/>
          <w:szCs w:val="36"/>
        </w:rPr>
        <w:lastRenderedPageBreak/>
        <w:t>Appendix 2: CREDIT RATINGS &amp; CREDIT RATING THRESHOLDS</w:t>
      </w:r>
    </w:p>
    <w:p w14:paraId="0B1D0036" w14:textId="77777777"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r>
        <w:rPr>
          <w:rFonts w:ascii="Arial" w:eastAsia="Arial" w:hAnsi="Arial"/>
          <w:b/>
          <w:color w:val="000000"/>
          <w:sz w:val="24"/>
          <w:szCs w:val="24"/>
        </w:rPr>
        <w:t>Part 1: Current Rating</w:t>
      </w:r>
    </w:p>
    <w:tbl>
      <w:tblPr>
        <w:tblStyle w:val="a5"/>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CB1F10" w14:paraId="49F62A9D" w14:textId="77777777">
        <w:trPr>
          <w:gridAfter w:val="1"/>
          <w:wAfter w:w="7" w:type="dxa"/>
        </w:trPr>
        <w:tc>
          <w:tcPr>
            <w:tcW w:w="3080" w:type="dxa"/>
            <w:tcBorders>
              <w:top w:val="single" w:sz="4" w:space="0" w:color="000000"/>
            </w:tcBorders>
            <w:shd w:val="clear" w:color="auto" w:fill="FFFFFF"/>
          </w:tcPr>
          <w:p w14:paraId="729DC04D" w14:textId="77777777"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8E73C04" w14:textId="77777777"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14:paraId="49F9981A" w14:textId="77777777">
        <w:tc>
          <w:tcPr>
            <w:tcW w:w="3080" w:type="dxa"/>
            <w:shd w:val="clear" w:color="auto" w:fill="FFFFFF"/>
          </w:tcPr>
          <w:p w14:paraId="03CD959E" w14:textId="77777777"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14:paraId="00F173F1" w14:textId="77777777"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14:paraId="6D9BC826" w14:textId="77777777">
        <w:tc>
          <w:tcPr>
            <w:tcW w:w="3080" w:type="dxa"/>
            <w:shd w:val="clear" w:color="auto" w:fill="FFFFFF"/>
          </w:tcPr>
          <w:p w14:paraId="074CF617" w14:textId="77777777"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sidRPr="00C340A3">
              <w:rPr>
                <w:rFonts w:ascii="Arial" w:eastAsia="Arial" w:hAnsi="Arial"/>
                <w:color w:val="000000"/>
                <w:sz w:val="24"/>
                <w:szCs w:val="24"/>
              </w:rPr>
              <w:t>[Guarantor]</w:t>
            </w:r>
          </w:p>
        </w:tc>
        <w:tc>
          <w:tcPr>
            <w:tcW w:w="3088" w:type="dxa"/>
            <w:gridSpan w:val="2"/>
            <w:shd w:val="clear" w:color="auto" w:fill="FFFFFF"/>
          </w:tcPr>
          <w:p w14:paraId="2E898ABA" w14:textId="77777777"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14:paraId="3193E869" w14:textId="77777777">
        <w:trPr>
          <w:gridAfter w:val="1"/>
          <w:wAfter w:w="7" w:type="dxa"/>
        </w:trPr>
        <w:tc>
          <w:tcPr>
            <w:tcW w:w="3080" w:type="dxa"/>
            <w:tcBorders>
              <w:bottom w:val="single" w:sz="4" w:space="0" w:color="000000"/>
            </w:tcBorders>
            <w:shd w:val="clear" w:color="auto" w:fill="FFFFFF"/>
          </w:tcPr>
          <w:p w14:paraId="0C5A5E0E" w14:textId="77777777" w:rsidR="00CB1F10" w:rsidRPr="00C340A3"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sidRPr="00C340A3">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01D7097E" w14:textId="77777777"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1247E27C" w14:textId="77777777" w:rsidR="00CB1F10" w:rsidRDefault="00CB1F10">
      <w:pPr>
        <w:spacing w:after="0"/>
        <w:rPr>
          <w:rFonts w:ascii="Arial" w:eastAsia="Arial" w:hAnsi="Arial"/>
          <w:sz w:val="24"/>
          <w:szCs w:val="24"/>
        </w:rPr>
      </w:pPr>
    </w:p>
    <w:p w14:paraId="6AC86D76" w14:textId="77777777" w:rsidR="00CB1F10" w:rsidRDefault="00CB1F10">
      <w:pPr>
        <w:spacing w:after="200" w:line="276" w:lineRule="auto"/>
        <w:jc w:val="left"/>
        <w:rPr>
          <w:rFonts w:ascii="Arial" w:eastAsia="Arial" w:hAnsi="Arial"/>
          <w:sz w:val="24"/>
          <w:szCs w:val="24"/>
        </w:rPr>
      </w:pPr>
    </w:p>
    <w:sectPr w:rsidR="00CB1F1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D41FA" w14:textId="77777777" w:rsidR="006206AB" w:rsidRDefault="006206AB">
      <w:pPr>
        <w:spacing w:after="0"/>
      </w:pPr>
      <w:r>
        <w:separator/>
      </w:r>
    </w:p>
  </w:endnote>
  <w:endnote w:type="continuationSeparator" w:id="0">
    <w:p w14:paraId="0B36D98B" w14:textId="77777777" w:rsidR="006206AB" w:rsidRDefault="00620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16DC" w14:textId="77777777"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95791" w14:textId="77777777" w:rsidR="00CB1F10" w:rsidRDefault="001F63C4">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r>
      <w:rPr>
        <w:rFonts w:ascii="Arial" w:eastAsia="Arial" w:hAnsi="Arial"/>
        <w:sz w:val="20"/>
        <w:szCs w:val="20"/>
      </w:rPr>
      <w:tab/>
      <w:t xml:space="preserve">                                           </w:t>
    </w:r>
  </w:p>
  <w:p w14:paraId="21711FB5" w14:textId="57E15862"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340A3">
      <w:rPr>
        <w:rFonts w:ascii="Arial" w:eastAsia="Arial" w:hAnsi="Arial"/>
        <w:noProof/>
        <w:color w:val="000000"/>
        <w:sz w:val="20"/>
        <w:szCs w:val="20"/>
      </w:rPr>
      <w:t>1</w:t>
    </w:r>
    <w:r>
      <w:rPr>
        <w:rFonts w:ascii="Arial" w:eastAsia="Arial" w:hAnsi="Arial"/>
        <w:color w:val="000000"/>
        <w:sz w:val="20"/>
        <w:szCs w:val="20"/>
      </w:rPr>
      <w:fldChar w:fldCharType="end"/>
    </w:r>
  </w:p>
  <w:p w14:paraId="0BDA27EB" w14:textId="77777777" w:rsidR="00CB1F10" w:rsidRDefault="001F63C4">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8BCF4" w14:textId="77777777" w:rsidR="00CB1F10" w:rsidRDefault="001F63C4">
    <w:pPr>
      <w:tabs>
        <w:tab w:val="center" w:pos="4513"/>
        <w:tab w:val="right" w:pos="9026"/>
      </w:tabs>
      <w:spacing w:after="0"/>
      <w:rPr>
        <w:color w:val="BFBFBF"/>
      </w:rPr>
    </w:pPr>
    <w:r>
      <w:rPr>
        <w:color w:val="BFBFBF"/>
      </w:rPr>
      <w:t>Framework Ref: RM</w:t>
    </w:r>
    <w:r>
      <w:rPr>
        <w:color w:val="BFBFBF"/>
      </w:rPr>
      <w:tab/>
      <w:t xml:space="preserve">                                           </w:t>
    </w:r>
  </w:p>
  <w:p w14:paraId="53F58B8B" w14:textId="77777777" w:rsidR="00CB1F10" w:rsidRDefault="001F63C4">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0DF74876" w14:textId="77777777" w:rsidR="00CB1F10" w:rsidRDefault="001F63C4">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A838A" w14:textId="77777777" w:rsidR="006206AB" w:rsidRDefault="006206AB">
      <w:pPr>
        <w:spacing w:after="0"/>
      </w:pPr>
      <w:r>
        <w:separator/>
      </w:r>
    </w:p>
  </w:footnote>
  <w:footnote w:type="continuationSeparator" w:id="0">
    <w:p w14:paraId="1A688F0B" w14:textId="77777777" w:rsidR="006206AB" w:rsidRDefault="00620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27D40" w14:textId="77777777"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C061E" w14:textId="77777777"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F13A47C" w14:textId="77777777"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82E66" w14:textId="77777777"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6DC1"/>
    <w:multiLevelType w:val="multilevel"/>
    <w:tmpl w:val="A3F438F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9572AEB"/>
    <w:multiLevelType w:val="multilevel"/>
    <w:tmpl w:val="484CD91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84050BE"/>
    <w:multiLevelType w:val="multilevel"/>
    <w:tmpl w:val="9460A058"/>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D5970E6"/>
    <w:multiLevelType w:val="multilevel"/>
    <w:tmpl w:val="09FA22AE"/>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F5902BC"/>
    <w:multiLevelType w:val="multilevel"/>
    <w:tmpl w:val="491C48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4"/>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F10"/>
    <w:rsid w:val="001F63C4"/>
    <w:rsid w:val="002A1828"/>
    <w:rsid w:val="00425540"/>
    <w:rsid w:val="00445379"/>
    <w:rsid w:val="006206AB"/>
    <w:rsid w:val="00C16745"/>
    <w:rsid w:val="00C340A3"/>
    <w:rsid w:val="00CB1F10"/>
    <w:rsid w:val="00DC76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E777C"/>
  <w15:docId w15:val="{5CBC8D1E-ADC6-4254-98BC-2043BAE0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rsid w:val="00E12774"/>
    <w:pPr>
      <w:keepNext/>
      <w:keepLines/>
      <w:spacing w:before="480" w:after="120"/>
      <w:outlineLvl w:val="0"/>
    </w:pPr>
    <w:rPr>
      <w:b/>
      <w:sz w:val="48"/>
      <w:szCs w:val="48"/>
    </w:rPr>
  </w:style>
  <w:style w:type="paragraph" w:styleId="Heading2">
    <w:name w:val="heading 2"/>
    <w:basedOn w:val="Normal"/>
    <w:next w:val="Normal"/>
    <w:link w:val="Heading2Char"/>
    <w:rsid w:val="00E12774"/>
    <w:pPr>
      <w:keepNext/>
      <w:keepLines/>
      <w:spacing w:before="360" w:after="80"/>
      <w:outlineLvl w:val="1"/>
    </w:pPr>
    <w:rPr>
      <w:b/>
      <w:sz w:val="36"/>
      <w:szCs w:val="36"/>
    </w:rPr>
  </w:style>
  <w:style w:type="paragraph" w:styleId="Heading3">
    <w:name w:val="heading 3"/>
    <w:basedOn w:val="Normal"/>
    <w:next w:val="Normal"/>
    <w:link w:val="Heading3Char"/>
    <w:rsid w:val="00E12774"/>
    <w:pPr>
      <w:keepNext/>
      <w:keepLines/>
      <w:spacing w:before="280" w:after="80"/>
      <w:outlineLvl w:val="2"/>
    </w:pPr>
    <w:rPr>
      <w:b/>
      <w:sz w:val="28"/>
      <w:szCs w:val="28"/>
    </w:rPr>
  </w:style>
  <w:style w:type="paragraph" w:styleId="Heading4">
    <w:name w:val="heading 4"/>
    <w:basedOn w:val="Normal"/>
    <w:next w:val="Normal"/>
    <w:link w:val="Heading4Char"/>
    <w:rsid w:val="00E12774"/>
    <w:pPr>
      <w:keepNext/>
      <w:keepLines/>
      <w:spacing w:before="240" w:after="40"/>
      <w:outlineLvl w:val="3"/>
    </w:pPr>
    <w:rPr>
      <w:b/>
      <w:sz w:val="24"/>
      <w:szCs w:val="24"/>
    </w:rPr>
  </w:style>
  <w:style w:type="paragraph" w:styleId="Heading5">
    <w:name w:val="heading 5"/>
    <w:basedOn w:val="Normal"/>
    <w:next w:val="Normal"/>
    <w:link w:val="Heading5Char"/>
    <w:rsid w:val="00E12774"/>
    <w:pPr>
      <w:keepNext/>
      <w:keepLines/>
      <w:spacing w:before="220" w:after="40"/>
      <w:outlineLvl w:val="4"/>
    </w:pPr>
    <w:rPr>
      <w:b/>
    </w:rPr>
  </w:style>
  <w:style w:type="paragraph" w:styleId="Heading6">
    <w:name w:val="heading 6"/>
    <w:basedOn w:val="Normal"/>
    <w:next w:val="Normal"/>
    <w:link w:val="Heading6Char"/>
    <w:rsid w:val="00E1277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E12774"/>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E12774"/>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E12774"/>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E12774"/>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E12774"/>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E12774"/>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E12774"/>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EopnTAag+oIb9IcdhLLG8zfypA==">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6590</Words>
  <Characters>37565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O'Shaughnessy</dc:creator>
  <cp:lastModifiedBy>Damian Johnston</cp:lastModifiedBy>
  <cp:revision>2</cp:revision>
  <dcterms:created xsi:type="dcterms:W3CDTF">2025-02-24T12:04:00Z</dcterms:created>
  <dcterms:modified xsi:type="dcterms:W3CDTF">2025-02-24T12:04:00Z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